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6</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牡丹江市肿瘤医院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前置条件审</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659A4E-D00C-4687-9A66-199CBFF793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B0E85B0-7017-452B-B7F2-303B7F31E0FC}"/>
  </w:font>
  <w:font w:name="仿宋">
    <w:panose1 w:val="02010609060101010101"/>
    <w:charset w:val="86"/>
    <w:family w:val="auto"/>
    <w:pitch w:val="default"/>
    <w:sig w:usb0="800002BF" w:usb1="38CF7CFA" w:usb2="00000016" w:usb3="00000000" w:csb0="00040001" w:csb1="00000000"/>
    <w:embedRegular r:id="rId3" w:fontKey="{1A24E62D-DFF4-4652-AACF-08BC7D7FAF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1C765680"/>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1954</Words>
  <Characters>1960</Characters>
  <Lines>87</Lines>
  <Paragraphs>73</Paragraphs>
  <TotalTime>190</TotalTime>
  <ScaleCrop>false</ScaleCrop>
  <LinksUpToDate>false</LinksUpToDate>
  <CharactersWithSpaces>1980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