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3</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齐齐哈尔医学院附属第二医院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bookmarkStart w:id="0" w:name="_GoBack"/>
            <w:bookmarkEnd w:id="0"/>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C9EA29-5802-46DF-AC79-1244F58493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5ED8D2F8-012D-415E-BEDE-4C6CD5CF7F22}"/>
  </w:font>
  <w:font w:name="仿宋">
    <w:panose1 w:val="02010609060101010101"/>
    <w:charset w:val="86"/>
    <w:family w:val="auto"/>
    <w:pitch w:val="default"/>
    <w:sig w:usb0="800002BF" w:usb1="38CF7CFA" w:usb2="00000016" w:usb3="00000000" w:csb0="00040001" w:csb1="00000000"/>
    <w:embedRegular r:id="rId3" w:fontKey="{646FCA8E-D36E-42A4-9834-E9DA800201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52F0965"/>
    <w:rsid w:val="0C906D35"/>
    <w:rsid w:val="0DE1691E"/>
    <w:rsid w:val="18B82AF0"/>
    <w:rsid w:val="1CD30F84"/>
    <w:rsid w:val="2533666C"/>
    <w:rsid w:val="432E49D7"/>
    <w:rsid w:val="4DDB05AD"/>
    <w:rsid w:val="4FF253FF"/>
    <w:rsid w:val="501620DB"/>
    <w:rsid w:val="51186119"/>
    <w:rsid w:val="58426BDA"/>
    <w:rsid w:val="627E0CD9"/>
    <w:rsid w:val="6FAF0743"/>
    <w:rsid w:val="7B672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1964</Words>
  <Characters>1969</Characters>
  <Lines>87</Lines>
  <Paragraphs>73</Paragraphs>
  <TotalTime>3</TotalTime>
  <ScaleCrop>false</ScaleCrop>
  <LinksUpToDate>false</LinksUpToDate>
  <CharactersWithSpaces>1989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