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3</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绥化市第一医院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hAnsi="仿宋" w:eastAsia="仿宋" w:cs="仿宋"/>
                <w:color w:val="auto"/>
                <w:spacing w:val="0"/>
                <w:sz w:val="22"/>
                <w:szCs w:val="22"/>
                <w:highlight w:val="none"/>
                <w:lang w:val="en-US" w:eastAsia="zh-CN"/>
              </w:rPr>
              <w:t>申请评审前最新发布的年度三级公立医院绩效考核</w:t>
            </w:r>
            <w:r>
              <w:rPr>
                <w:rFonts w:hint="eastAsia" w:ascii="仿宋" w:hAnsi="仿宋" w:eastAsia="仿宋" w:cs="仿宋"/>
                <w:color w:val="auto"/>
                <w:spacing w:val="0"/>
                <w:sz w:val="22"/>
                <w:szCs w:val="22"/>
                <w:highlight w:val="none"/>
              </w:rPr>
              <w:t>等次</w:t>
            </w:r>
            <w:r>
              <w:rPr>
                <w:rFonts w:hint="eastAsia" w:ascii="仿宋" w:hAnsi="仿宋" w:eastAsia="仿宋" w:cs="仿宋"/>
                <w:color w:val="auto"/>
                <w:spacing w:val="0"/>
                <w:sz w:val="22"/>
                <w:szCs w:val="22"/>
                <w:highlight w:val="none"/>
                <w:lang w:val="en-US" w:eastAsia="zh-CN"/>
              </w:rPr>
              <w:t>综合医院</w:t>
            </w:r>
            <w:r>
              <w:rPr>
                <w:rFonts w:hint="eastAsia" w:ascii="仿宋" w:hAnsi="仿宋" w:eastAsia="仿宋" w:cs="仿宋"/>
                <w:color w:val="auto"/>
                <w:spacing w:val="0"/>
                <w:sz w:val="22"/>
                <w:szCs w:val="22"/>
                <w:highlight w:val="none"/>
              </w:rPr>
              <w:t>为C级以下（不含C+、C++）</w:t>
            </w:r>
            <w:r>
              <w:rPr>
                <w:rFonts w:hint="eastAsia" w:ascii="仿宋" w:hAnsi="仿宋" w:eastAsia="仿宋" w:cs="仿宋"/>
                <w:sz w:val="22"/>
                <w:szCs w:val="22"/>
                <w:highlight w:val="none"/>
              </w:rPr>
              <w:t>。</w:t>
            </w:r>
            <w:bookmarkStart w:id="0" w:name="_GoBack"/>
            <w:bookmarkEnd w:id="0"/>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890FE-55BF-45FB-A79D-A4B83BE70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71FE4237-7E3F-4A6C-95A8-A9FD2F290DD5}"/>
  </w:font>
  <w:font w:name="仿宋">
    <w:panose1 w:val="02010609060101010101"/>
    <w:charset w:val="86"/>
    <w:family w:val="auto"/>
    <w:pitch w:val="default"/>
    <w:sig w:usb0="800002BF" w:usb1="38CF7CFA" w:usb2="00000016" w:usb3="00000000" w:csb0="00040001" w:csb1="00000000"/>
    <w:embedRegular r:id="rId3" w:fontKey="{BEBC1A88-319D-4C68-A066-6FBEDAC79D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C906D35"/>
    <w:rsid w:val="0D9A1234"/>
    <w:rsid w:val="0F3E059F"/>
    <w:rsid w:val="2533666C"/>
    <w:rsid w:val="268C5DAE"/>
    <w:rsid w:val="420E5181"/>
    <w:rsid w:val="4DDB05AD"/>
    <w:rsid w:val="4FF13B72"/>
    <w:rsid w:val="4FF253FF"/>
    <w:rsid w:val="501620DB"/>
    <w:rsid w:val="51186119"/>
    <w:rsid w:val="58426BDA"/>
    <w:rsid w:val="59922A82"/>
    <w:rsid w:val="627E0CD9"/>
    <w:rsid w:val="63316BD9"/>
    <w:rsid w:val="6FAF0743"/>
    <w:rsid w:val="734430CE"/>
    <w:rsid w:val="764D5D3B"/>
    <w:rsid w:val="7B672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1958</Words>
  <Characters>1963</Characters>
  <Lines>87</Lines>
  <Paragraphs>73</Paragraphs>
  <TotalTime>0</TotalTime>
  <ScaleCrop>false</ScaleCrop>
  <LinksUpToDate>false</LinksUpToDate>
  <CharactersWithSpaces>1983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W娜</cp:lastModifiedBy>
  <dcterms:modified xsi:type="dcterms:W3CDTF">2026-06-11T01:09:22Z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B55108BC736C4672A73E55E3562B3124_13</vt:lpwstr>
  </property>
  <property fmtid="{D5CDD505-2E9C-101B-9397-08002B2CF9AE}" pid="4" name="KSOTemplateDocerSaveRecord">
    <vt:lpwstr>eyJoZGlkIjoiNzRlOTUwYmI4MTVkYTk2YzY3MjZiNzlkNzg0YzJhOTQiLCJ1c2VySWQiOiIzMDQxNTUyMDEifQ==</vt:lpwstr>
  </property>
</Properties>
</file>