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cs="黑体" w:hint="eastAsia"/>
          <w:color w:val="000000"/>
          <w:sz w:val="32"/>
          <w:szCs w:val="32"/>
          <w:shd w:val="clear" w:color="auto" w:fill="FFFFFF"/>
          <w:lang w:val="en-US" w:eastAsia="zh-CN"/>
        </w:rPr>
      </w:pPr>
      <w:r>
        <w:rPr>
          <w:rFonts w:ascii="黑体" w:eastAsia="黑体" w:cs="黑体" w:hint="eastAsia"/>
          <w:color w:val="000000"/>
          <w:sz w:val="32"/>
          <w:szCs w:val="32"/>
          <w:shd w:val="clear" w:color="auto" w:fill="FFFFFF"/>
        </w:rPr>
        <w:t>附件</w:t>
      </w:r>
      <w:r>
        <w:rPr>
          <w:rFonts w:ascii="黑体" w:eastAsia="黑体" w:cs="黑体" w:hint="eastAsia"/>
          <w:color w:val="000000"/>
          <w:sz w:val="32"/>
          <w:szCs w:val="32"/>
          <w:shd w:val="clear" w:color="auto" w:fill="FFFFFF"/>
          <w:lang w:val="en-US" w:eastAsia="zh-CN"/>
        </w:rPr>
        <w:t>1</w:t>
      </w:r>
    </w:p>
    <w:p>
      <w:pPr>
        <w:ind w:leftChars="304" w:left="1958" w:hangingChars="300" w:hanging="1320"/>
        <w:jc w:val="center"/>
        <w:rPr>
          <w:rFonts w:ascii="方正小标宋_GBK" w:eastAsia="方正小标宋_GBK" w:cs="方正小标宋_GBK" w:hint="eastAsia"/>
          <w:color w:val="000000"/>
          <w:sz w:val="44"/>
          <w:szCs w:val="44"/>
          <w:shd w:val="clear" w:color="auto" w:fill="FFFFFF"/>
        </w:rPr>
      </w:pPr>
      <w:r>
        <w:rPr>
          <w:rFonts w:ascii="方正小标宋_GBK" w:eastAsia="方正小标宋_GBK" w:cs="方正小标宋_GBK" w:hint="eastAsia"/>
          <w:i w:val="0"/>
          <w:caps w:val="0"/>
          <w:smallCaps w:val="0"/>
          <w:color w:val="000000"/>
          <w:spacing w:val="0"/>
          <w:sz w:val="44"/>
          <w:szCs w:val="44"/>
          <w:vertAlign w:val="baseline"/>
          <w:lang w:val="en-US" w:eastAsia="zh-CN"/>
        </w:rPr>
        <w:t>齐齐哈尔医学院附属第三医院</w:t>
      </w:r>
      <w:r>
        <w:rPr>
          <w:rFonts w:ascii="方正小标宋_GBK" w:eastAsia="方正小标宋_GBK" w:cs="方正小标宋_GBK" w:hint="eastAsia"/>
          <w:bCs/>
          <w:i w:val="0"/>
          <w:caps w:val="0"/>
          <w:smallCaps w:val="0"/>
          <w:color w:val="333333"/>
          <w:spacing w:val="0"/>
          <w:kern w:val="0"/>
          <w:sz w:val="44"/>
          <w:szCs w:val="44"/>
          <w:shd w:val="clear" w:color="auto" w:fill="FFFFFF"/>
          <w:lang w:val="en-US" w:eastAsia="zh-CN"/>
        </w:rPr>
        <w:t>前置条件审查表</w:t>
      </w:r>
    </w:p>
    <w:p>
      <w:pPr>
        <w:pStyle w:val="17"/>
        <w:spacing w:line="600" w:lineRule="exact"/>
        <w:ind w:firstLineChars="200" w:firstLine="640"/>
        <w:rPr>
          <w:rFonts w:ascii="方正小标宋_GBK" w:eastAsia="方正小标宋_GBK" w:cs="方正小标宋_GBK"/>
          <w:color w:val="000000"/>
          <w:sz w:val="44"/>
          <w:szCs w:val="44"/>
          <w:shd w:val="clear" w:color="auto" w:fill="FFFFFF"/>
          <w:lang w:val="en-US" w:eastAsia="zh-CN"/>
        </w:rPr>
      </w:pPr>
      <w:r>
        <w:rPr>
          <w:rFonts w:ascii="仿宋" w:eastAsia="仿宋" w:cs="仿宋" w:hint="eastAsia"/>
          <w:b/>
          <w:bCs/>
          <w:sz w:val="32"/>
          <w:szCs w:val="32"/>
        </w:rPr>
        <w:t>一、依法设置与执业</w:t>
      </w:r>
    </w:p>
    <w:tbl>
      <w:tblPr>
        <w:jc w:val="left"/>
        <w:tblInd w:w="93" w:type="dxa"/>
        <w:tblW w:w="140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57"/>
        <w:gridCol w:w="1424"/>
      </w:tblGrid>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pPr>
              <w:widowControl/>
              <w:jc w:val="center"/>
              <w:textAlignment w:val="center"/>
              <w:rPr>
                <w:rFonts w:ascii="仿宋" w:eastAsia="仿宋" w:cs="仿宋"/>
                <w:b/>
                <w:bCs/>
                <w:color w:val="000000"/>
                <w:sz w:val="22"/>
                <w:szCs w:val="22"/>
              </w:rPr>
            </w:pPr>
            <w:r>
              <w:rPr>
                <w:rFonts w:ascii="仿宋" w:eastAsia="仿宋" w:cs="仿宋" w:hint="eastAsia"/>
                <w:b/>
                <w:bCs/>
                <w:color w:val="000000"/>
                <w:kern w:val="0"/>
                <w:sz w:val="22"/>
                <w:szCs w:val="22"/>
              </w:rPr>
              <w:t>指    标</w:t>
            </w:r>
          </w:p>
        </w:tc>
        <w:tc>
          <w:tcPr>
            <w:tcW w:w="1424"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pPr>
              <w:widowControl/>
              <w:jc w:val="center"/>
              <w:textAlignment w:val="center"/>
              <w:rPr>
                <w:rFonts w:ascii="仿宋" w:eastAsia="仿宋" w:cs="仿宋" w:hint="eastAsia"/>
                <w:b/>
                <w:bCs/>
                <w:color w:val="000000"/>
                <w:sz w:val="22"/>
                <w:szCs w:val="22"/>
                <w:lang w:eastAsia="zh-CN"/>
              </w:rPr>
            </w:pPr>
            <w:r>
              <w:rPr>
                <w:rFonts w:ascii="仿宋" w:eastAsia="仿宋" w:cs="仿宋" w:hint="eastAsia"/>
                <w:b/>
                <w:bCs/>
                <w:color w:val="000000"/>
                <w:kern w:val="0"/>
                <w:sz w:val="22"/>
                <w:szCs w:val="22"/>
                <w:lang w:eastAsia="zh-CN"/>
              </w:rPr>
              <w:t>自查情况</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（一）医院规模和基本设置未达到《医疗机构管理条例》《医疗机构基本标准（试行）》所要求的医院标准。</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135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医疗卫生机构对外出租、承包医疗科室；非营利性医疗卫生机构向出资人、举办者分配或变相分配收益。</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（三）违反《中华人民共和国医师法》《医疗机构管理条例》《护士条例》，使用非卫生技术人员从事医疗卫生技术工作。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（四）违反《中华人民共和国药品管理法》《医疗器械监督管理条例》，违法违规采购或使用药品、设备、器械、耗材开展诊疗活动，造成严重后果；未经许可配置使用需要准入审批的大型医用设备。</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（五）违反《中华人民共和国母婴保健法》，未取得母婴保健技术服务执业许可证开展相关母婴保健技术。</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（六）违反《人体器官移植条例》，买卖人体器官或者从事与买卖人体器官有关的活动，未经许可开展人体器官获取与移植技术。</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（七）违反《中华人民共和国献血法》，非法采集血液，非法组织他人出卖血液，出售无偿献血的血液。</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81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八）违反《中华人民共和国传染病防治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（九）违反《医疗纠纷预防和处理条例》《医疗事故处理条例》，篡改、伪造、隐匿、毁灭病历资料，造成严重后果。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（十）违反《医疗技术临床应用管理办法》，将未通过技术评估与伦理审查的医疗新技术、禁止类医疗技术应用于临床，造成严重后果。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81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（十二）违反《放射诊疗管理规定》，未取得放射诊疗许可从事放射诊疗工作，造成严重后果。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（十三）违反《中华人民共和国职业病防治法》，未依法开展职业健康检查或职业病诊断、未依法履行职业病与疑似职业病报告等法定职责，造成严重后果。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（十四）违反《中华人民共和国广告法》《医疗广告管理办法》，违规发布医疗广告，情节严重。</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（十五）其他重大违法、违规事件，造成严重后果或情节严重。</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 w:eastAsia="仿宋" w:cs="仿宋"/>
                <w:color w:val="000000"/>
                <w:sz w:val="22"/>
                <w:szCs w:val="22"/>
              </w:rPr>
            </w:pPr>
          </w:p>
        </w:tc>
      </w:tr>
    </w:tbl>
    <w:p>
      <w:pPr>
        <w:pStyle w:val="17"/>
        <w:spacing w:line="720" w:lineRule="auto"/>
        <w:ind w:firstLineChars="200" w:firstLine="640"/>
      </w:pPr>
      <w:r>
        <w:rPr>
          <w:rFonts w:ascii="仿宋" w:eastAsia="仿宋" w:cs="仿宋" w:hint="eastAsia"/>
          <w:b/>
          <w:bCs/>
          <w:sz w:val="32"/>
          <w:szCs w:val="32"/>
        </w:rPr>
        <w:t>二、公益性责任和行风诚信</w:t>
      </w:r>
    </w:p>
    <w:tbl>
      <w:tblPr>
        <w:jc w:val="left"/>
        <w:tblInd w:w="93" w:type="dxa"/>
        <w:tblW w:w="140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57"/>
        <w:gridCol w:w="1424"/>
      </w:tblGrid>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b/>
                <w:bCs/>
                <w:color w:val="000000"/>
                <w:sz w:val="22"/>
                <w:szCs w:val="22"/>
              </w:rPr>
            </w:pPr>
            <w:r>
              <w:rPr>
                <w:rFonts w:ascii="仿宋" w:eastAsia="仿宋" w:cs="仿宋" w:hint="eastAsia"/>
                <w:b/>
                <w:bCs/>
                <w:color w:val="000000"/>
                <w:kern w:val="0"/>
                <w:sz w:val="22"/>
                <w:szCs w:val="22"/>
              </w:rPr>
              <w:t>指    标</w:t>
            </w:r>
          </w:p>
        </w:tc>
        <w:tc>
          <w:tcPr>
            <w:tcW w:w="1424"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hint="eastAsia"/>
                <w:b/>
                <w:bCs/>
                <w:color w:val="000000"/>
                <w:sz w:val="22"/>
                <w:szCs w:val="22"/>
                <w:lang w:eastAsia="zh-CN"/>
              </w:rPr>
            </w:pPr>
            <w:r>
              <w:rPr>
                <w:rFonts w:ascii="仿宋" w:eastAsia="仿宋" w:cs="仿宋" w:hint="eastAsia"/>
                <w:b/>
                <w:bCs/>
                <w:color w:val="000000"/>
                <w:kern w:val="0"/>
                <w:sz w:val="22"/>
                <w:szCs w:val="22"/>
                <w:lang w:eastAsia="zh-CN"/>
              </w:rPr>
              <w:t>自查情况</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（一）应当完成而未完成对口支援、中国援外医疗队、突发公共事件医疗救援、公共卫生任务等政府指令性工作。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（二）应当执行而未执行国家基本药物制度和分级诊疗政策。</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（三）医院领导班子发生3起以上严重职务犯罪或严重违纪事件，或医务人员发生3起以上违反《医疗卫生行风建设“九不准”》的群体性事件（≥3人/起），造成重大社会影响。</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（四）发生重大价格或收费违法事件，以及恶意骗取医保基金。</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（五）违反《中华人民共和国统计法》《医疗质量管理办法》《医学科研诚信和相关行为规范》 相关要求，提供、 报告虚假住院病案首页等医疗服务信息、统计数据、申报材料和科研成果，情节严重。</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bl>
    <w:p>
      <w:pPr>
        <w:rPr>
          <w:rFonts w:ascii="仿宋" w:eastAsia="仿宋" w:cs="仿宋"/>
          <w:b/>
          <w:bCs/>
          <w:sz w:val="32"/>
          <w:szCs w:val="32"/>
        </w:rPr>
      </w:pPr>
      <w:r>
        <w:rPr>
          <w:rFonts w:ascii="仿宋" w:eastAsia="仿宋" w:cs="仿宋" w:hint="eastAsia"/>
          <w:b/>
          <w:bCs/>
          <w:sz w:val="32"/>
          <w:szCs w:val="32"/>
        </w:rPr>
        <w:br w:type="page"/>
      </w:r>
    </w:p>
    <w:p>
      <w:pPr>
        <w:pStyle w:val="17"/>
        <w:spacing w:line="720" w:lineRule="auto"/>
        <w:ind w:firstLineChars="200" w:firstLine="640"/>
      </w:pPr>
      <w:r>
        <w:rPr>
          <w:rFonts w:ascii="仿宋" w:eastAsia="仿宋" w:cs="仿宋" w:hint="eastAsia"/>
          <w:b/>
          <w:bCs/>
          <w:sz w:val="32"/>
          <w:szCs w:val="32"/>
          <w:lang w:eastAsia="zh-CN"/>
        </w:rPr>
        <w:t>三、</w:t>
      </w:r>
      <w:r>
        <w:rPr>
          <w:rFonts w:ascii="仿宋" w:eastAsia="仿宋" w:cs="仿宋" w:hint="eastAsia"/>
          <w:b/>
          <w:bCs/>
          <w:sz w:val="32"/>
          <w:szCs w:val="32"/>
        </w:rPr>
        <w:t>安全管理与重大事件</w:t>
      </w:r>
    </w:p>
    <w:tbl>
      <w:tblPr>
        <w:jc w:val="left"/>
        <w:tblInd w:w="93" w:type="dxa"/>
        <w:tblW w:w="140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57"/>
        <w:gridCol w:w="1424"/>
      </w:tblGrid>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b/>
                <w:bCs/>
                <w:color w:val="000000"/>
                <w:sz w:val="22"/>
                <w:szCs w:val="22"/>
              </w:rPr>
            </w:pPr>
            <w:r>
              <w:rPr>
                <w:rFonts w:ascii="仿宋" w:eastAsia="仿宋" w:cs="仿宋" w:hint="eastAsia"/>
                <w:b/>
                <w:bCs/>
                <w:color w:val="000000"/>
                <w:kern w:val="0"/>
                <w:sz w:val="22"/>
                <w:szCs w:val="22"/>
              </w:rPr>
              <w:t>指    标</w:t>
            </w:r>
          </w:p>
        </w:tc>
        <w:tc>
          <w:tcPr>
            <w:tcW w:w="1424"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hint="eastAsia"/>
                <w:b/>
                <w:bCs/>
                <w:color w:val="000000"/>
                <w:sz w:val="22"/>
                <w:szCs w:val="22"/>
                <w:lang w:eastAsia="zh-CN"/>
              </w:rPr>
            </w:pPr>
            <w:r>
              <w:rPr>
                <w:rFonts w:ascii="仿宋" w:eastAsia="仿宋" w:cs="仿宋" w:hint="eastAsia"/>
                <w:b/>
                <w:bCs/>
                <w:color w:val="000000"/>
                <w:kern w:val="0"/>
                <w:sz w:val="22"/>
                <w:szCs w:val="22"/>
                <w:lang w:eastAsia="zh-CN"/>
              </w:rPr>
              <w:t>自查情况</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（一）发生定性为完全责任的一级医疗事故或直接被卫生健康行政部门判定的重大医疗事故。</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（二）发生重大医院感染事件，造成严重后果。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（三）发生因重大火灾、放射源泄漏、有害气体泄漏等被通报或处罚的重大安全事故。</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（四）发生瞒报、漏报重大医疗过失事件的行为。</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（五）发生大规模医疗数据泄露或其他重大网络安全事件，造成严重后果。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bl>
    <w:p>
      <w:pPr>
        <w:ind w:firstLineChars="200" w:firstLine="640"/>
      </w:pPr>
      <w:r>
        <w:rPr>
          <w:rFonts w:ascii="仿宋" w:eastAsia="仿宋" w:cs="仿宋" w:hint="eastAsia"/>
          <w:b/>
          <w:sz w:val="32"/>
          <w:szCs w:val="32"/>
        </w:rPr>
        <w:t>四、政府指令性任务</w:t>
      </w:r>
    </w:p>
    <w:tbl>
      <w:tblPr>
        <w:jc w:val="left"/>
        <w:tblInd w:w="93" w:type="dxa"/>
        <w:tblW w:w="140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57"/>
        <w:gridCol w:w="1424"/>
      </w:tblGrid>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b/>
                <w:bCs/>
                <w:color w:val="000000"/>
                <w:sz w:val="22"/>
                <w:szCs w:val="22"/>
              </w:rPr>
            </w:pPr>
            <w:r>
              <w:rPr>
                <w:rFonts w:ascii="仿宋" w:eastAsia="仿宋" w:cs="仿宋" w:hint="eastAsia"/>
                <w:b/>
                <w:bCs/>
                <w:color w:val="000000"/>
                <w:kern w:val="0"/>
                <w:sz w:val="22"/>
                <w:szCs w:val="22"/>
              </w:rPr>
              <w:t>指    标</w:t>
            </w:r>
          </w:p>
        </w:tc>
        <w:tc>
          <w:tcPr>
            <w:tcW w:w="1424"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hint="eastAsia"/>
                <w:b/>
                <w:bCs/>
                <w:color w:val="000000"/>
                <w:sz w:val="22"/>
                <w:szCs w:val="22"/>
                <w:lang w:eastAsia="zh-CN"/>
              </w:rPr>
            </w:pPr>
            <w:r>
              <w:rPr>
                <w:rFonts w:ascii="仿宋" w:eastAsia="仿宋" w:cs="仿宋" w:hint="eastAsia"/>
                <w:b/>
                <w:bCs/>
                <w:color w:val="000000"/>
                <w:kern w:val="0"/>
                <w:sz w:val="22"/>
                <w:szCs w:val="22"/>
                <w:lang w:eastAsia="zh-CN"/>
              </w:rPr>
              <w:t>自查情况</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（一）二级及以上综合医院、儿童专科医院、传染病专科医院发热门诊建设未达标;二级及以上综合医院、传染病专科医院新冠病毒核酸检测能力未达标。</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（二）县级医院医疗服务能力评估结果，二级县级医院未达到基本标准，三级县级医院未达到推荐标准。</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（三）上一年度三级公立医院绩效考核等次为C级以下（不含C+、C++）。</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（四）电子病历系统应用水平分级评价未达到4级以上。</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（五）未接入省(市)级全民健康信息平台，实现区域医疗服务信息互通共享。</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bl>
    <w:p>
      <w:pPr>
        <w:rPr>
          <w:rFonts w:ascii="仿宋" w:eastAsia="仿宋" w:cs="仿宋" w:hint="eastAsia"/>
          <w:color w:val="000000"/>
          <w:sz w:val="32"/>
          <w:szCs w:val="32"/>
          <w:shd w:val="clear" w:color="auto" w:fill="FFFFFF"/>
        </w:rPr>
      </w:pPr>
      <w:bookmarkStart w:id="0" w:name="_GoBack"/>
      <w:bookmarkEnd w:id="0"/>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docVars>
    <w:docVar w:name="commondata" w:val="eyJoZGlkIjoiZWQwOWE5OTdmNWEzODlhNGY1NzAyZjEyZjIxZDQ0Nz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paragraph" w:customStyle="1" w:styleId="16">
    <w:name w:val="样式1"/>
    <w:basedOn w:val="0"/>
    <w:rPr>
      <w:b/>
      <w:color w:val="548235"/>
      <w:sz w:val="28"/>
    </w:rPr>
  </w:style>
  <w:style w:type="paragraph" w:customStyle="1" w:styleId="17">
    <w:name w:val="Body text|1"/>
    <w:basedOn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3</Pages>
  <Words>1859</Words>
  <Characters>1862</Characters>
  <Lines>87</Lines>
  <Paragraphs>73</Paragraphs>
  <CharactersWithSpaces>1880</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wjw</cp:lastModifiedBy>
  <cp:revision>1</cp:revision>
  <dcterms:created xsi:type="dcterms:W3CDTF">2020-05-08T14:11:00Z</dcterms:created>
  <dcterms:modified xsi:type="dcterms:W3CDTF">2022-08-11T05:51:57Z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2052-11.1.0.11875</vt:lpwstr>
  </property>
  <property fmtid="{D5CDD505-2E9C-101B-9397-08002B2CF9AE}" pid="3" name="ICV">
    <vt:lpwstr>93E1788F2FA745DA9FF297CC59FD75C5</vt:lpwstr>
  </property>
</Properties>
</file>