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cs="黑体" w:hint="eastAsia"/>
          <w:color w:val="000000"/>
          <w:sz w:val="32"/>
          <w:szCs w:val="32"/>
          <w:shd w:val="clear" w:color="auto" w:fill="FFFFFF"/>
          <w:lang w:val="en-US" w:eastAsia="zh-CN"/>
        </w:rPr>
      </w:pPr>
      <w:bookmarkStart w:id="0" w:name="_GoBack"/>
      <w:bookmarkEnd w:id="0"/>
      <w:r>
        <w:rPr>
          <w:rFonts w:ascii="黑体" w:eastAsia="黑体" w:cs="黑体" w:hint="eastAsia"/>
          <w:color w:val="000000"/>
          <w:sz w:val="32"/>
          <w:szCs w:val="32"/>
          <w:shd w:val="clear" w:color="auto" w:fill="FFFFFF"/>
        </w:rPr>
        <w:t>附件</w:t>
      </w:r>
      <w:r>
        <w:rPr>
          <w:rFonts w:ascii="黑体" w:eastAsia="黑体" w:cs="黑体" w:hint="eastAsia"/>
          <w:color w:val="000000"/>
          <w:sz w:val="32"/>
          <w:szCs w:val="32"/>
          <w:shd w:val="clear" w:color="auto" w:fill="FFFFFF"/>
          <w:lang w:val="en-US" w:eastAsia="zh-CN"/>
        </w:rPr>
        <w:t>2</w:t>
      </w:r>
    </w:p>
    <w:p>
      <w:pPr>
        <w:pStyle w:val="17"/>
        <w:spacing w:line="600" w:lineRule="exact"/>
        <w:ind w:firstLineChars="200" w:firstLine="880"/>
        <w:jc w:val="center"/>
        <w:rPr>
          <w:rFonts w:ascii="方正小标宋_GBK" w:eastAsia="方正小标宋_GBK" w:cs="方正小标宋_GBK" w:hint="eastAsia"/>
          <w:b w:val="0"/>
          <w:bCs/>
          <w:i w:val="0"/>
          <w:caps w:val="0"/>
          <w:smallCaps w:val="0"/>
          <w:color w:val="333333"/>
          <w:spacing w:val="0"/>
          <w:kern w:val="0"/>
          <w:sz w:val="44"/>
          <w:szCs w:val="44"/>
          <w:shd w:val="clear" w:color="auto" w:fill="FFFFFF"/>
          <w:lang w:val="en-US" w:eastAsia="zh-CN"/>
        </w:rPr>
      </w:pPr>
      <w:r>
        <w:rPr>
          <w:rFonts w:ascii="方正小标宋_GBK" w:eastAsia="方正小标宋_GBK" w:cs="方正小标宋_GBK" w:hint="eastAsia"/>
          <w:b w:val="0"/>
          <w:bCs/>
          <w:i w:val="0"/>
          <w:caps w:val="0"/>
          <w:smallCaps w:val="0"/>
          <w:color w:val="000000"/>
          <w:spacing w:val="0"/>
          <w:sz w:val="44"/>
          <w:szCs w:val="44"/>
          <w:vertAlign w:val="baseline"/>
          <w:lang w:val="en-US" w:eastAsia="zh-CN"/>
        </w:rPr>
        <w:t>绥化市第一医院</w:t>
      </w:r>
      <w:r>
        <w:rPr>
          <w:rFonts w:ascii="方正小标宋_GBK" w:eastAsia="方正小标宋_GBK" w:cs="方正小标宋_GBK" w:hint="eastAsia"/>
          <w:b w:val="0"/>
          <w:bCs/>
          <w:i w:val="0"/>
          <w:caps w:val="0"/>
          <w:smallCaps w:val="0"/>
          <w:color w:val="333333"/>
          <w:spacing w:val="0"/>
          <w:kern w:val="0"/>
          <w:sz w:val="44"/>
          <w:szCs w:val="44"/>
          <w:shd w:val="clear" w:color="auto" w:fill="FFFFFF"/>
          <w:lang w:val="en-US" w:eastAsia="zh-CN"/>
        </w:rPr>
        <w:t>前置条件审查表</w:t>
      </w:r>
    </w:p>
    <w:p>
      <w:pPr>
        <w:pStyle w:val="17"/>
        <w:spacing w:line="600" w:lineRule="exact"/>
        <w:ind w:firstLineChars="200" w:firstLine="640"/>
        <w:rPr>
          <w:rFonts w:ascii="方正小标宋_GBK" w:eastAsia="方正小标宋_GBK" w:cs="方正小标宋_GBK"/>
          <w:color w:val="000000"/>
          <w:sz w:val="44"/>
          <w:szCs w:val="44"/>
          <w:shd w:val="clear" w:color="auto" w:fill="FFFFFF"/>
          <w:lang w:val="en-US" w:eastAsia="zh-CN"/>
        </w:rPr>
      </w:pPr>
      <w:r>
        <w:rPr>
          <w:rFonts w:ascii="仿宋" w:eastAsia="仿宋" w:cs="仿宋" w:hint="eastAsia"/>
          <w:b/>
          <w:bCs/>
          <w:sz w:val="32"/>
          <w:szCs w:val="32"/>
        </w:rPr>
        <w:t>一、依法设置与执业</w:t>
      </w:r>
    </w:p>
    <w:tbl>
      <w:tblPr>
        <w:jc w:val="left"/>
        <w:tblInd w:w="93" w:type="dxa"/>
        <w:tblW w:w="140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57"/>
        <w:gridCol w:w="1424"/>
      </w:tblGrid>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pPr>
              <w:widowControl/>
              <w:jc w:val="center"/>
              <w:textAlignment w:val="center"/>
              <w:rPr>
                <w:rFonts w:ascii="仿宋" w:eastAsia="仿宋" w:cs="仿宋"/>
                <w:b/>
                <w:bCs/>
                <w:color w:val="000000"/>
                <w:sz w:val="22"/>
                <w:szCs w:val="22"/>
              </w:rPr>
            </w:pPr>
            <w:r>
              <w:rPr>
                <w:rFonts w:ascii="仿宋" w:eastAsia="仿宋" w:cs="仿宋" w:hint="eastAsia"/>
                <w:b/>
                <w:bCs/>
                <w:color w:val="000000"/>
                <w:kern w:val="0"/>
                <w:sz w:val="22"/>
                <w:szCs w:val="22"/>
              </w:rPr>
              <w:t>指    标</w:t>
            </w:r>
          </w:p>
        </w:tc>
        <w:tc>
          <w:tcPr>
            <w:tcW w:w="1424"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pPr>
              <w:widowControl/>
              <w:jc w:val="center"/>
              <w:textAlignment w:val="center"/>
              <w:rPr>
                <w:rFonts w:ascii="仿宋" w:eastAsia="仿宋" w:cs="仿宋"/>
                <w:b/>
                <w:bCs/>
                <w:color w:val="000000"/>
                <w:sz w:val="22"/>
                <w:szCs w:val="22"/>
              </w:rPr>
            </w:pPr>
            <w:r>
              <w:rPr>
                <w:rFonts w:ascii="仿宋" w:eastAsia="仿宋" w:cs="仿宋" w:hint="eastAsia"/>
                <w:b/>
                <w:bCs/>
                <w:color w:val="000000"/>
                <w:kern w:val="0"/>
                <w:sz w:val="22"/>
                <w:szCs w:val="22"/>
                <w:lang w:eastAsia="zh-CN"/>
              </w:rPr>
              <w:t>自查情况</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（一）医院规模和基本设置未达到《医疗机构管理条例》《医疗机构基本标准（试行）》所要求的医院标准。</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135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医疗卫生机构对外出租、承包医疗科室；非营利性医疗卫生机构向出资人、举办者分配或变相分配收益。</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（三）违反《中华人民共和国医师法》《医疗机构管理条例》《护士条例》，使用非卫生技术人员从事医疗卫生技术工作。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（四）违反《中华人民共和国药品管理法》《医疗器械监督管理条例》，违法违规采购或使用药品、设备、器械、耗材开展诊疗活动，造成严重后果；未经许可配置使用需要准入审批的大型医用设备。</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（五）违反《中华人民共和国母婴保健法》，未取得母婴保健技术服务执业许可证开展相关母婴保健技术。</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（六）违反《人体器官移植条例》，买卖人体器官或者从事与买卖人体器官有关的活动，未经许可开展人体器官获取与移植技术。</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（七）违反《中华人民共和国献血法》，非法采集血液，非法组织他人出卖血液，出售无偿献血的血液。</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81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八）违反《中华人民共和国传染病防治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（九）违反《医疗纠纷预防和处理条例》《医疗事故处理条例》，篡改、伪造、隐匿、毁灭病历资料，造成严重后果。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（十）违反《医疗技术临床应用管理办法》，将未通过技术评估与伦理审查的医疗新技术、禁止类医疗技术应用于临床，造成严重后果。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81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（十二）违反《放射诊疗管理规定》，未取得放射诊疗许可从事放射诊疗工作，造成严重后果。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（十三）违反《中华人民共和国职业病防治法》，未依法开展职业健康检查或职业病诊断、未依法履行职业病与疑似职业病报告等法定职责，造成严重后果。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（十四）违反《中华人民共和国广告法》《医疗广告管理办法》，违规发布医疗广告，情节严重。</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（十五）其他重大违法、违规事件，造成严重后果或情节严重。</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仿宋" w:eastAsia="仿宋" w:cs="仿宋"/>
                <w:color w:val="000000"/>
                <w:sz w:val="22"/>
                <w:szCs w:val="22"/>
              </w:rPr>
            </w:pPr>
          </w:p>
        </w:tc>
      </w:tr>
    </w:tbl>
    <w:p>
      <w:pPr>
        <w:pStyle w:val="17"/>
        <w:spacing w:line="720" w:lineRule="auto"/>
        <w:ind w:firstLineChars="200" w:firstLine="640"/>
      </w:pPr>
      <w:r>
        <w:rPr>
          <w:rFonts w:ascii="仿宋" w:eastAsia="仿宋" w:cs="仿宋" w:hint="eastAsia"/>
          <w:b/>
          <w:bCs/>
          <w:sz w:val="32"/>
          <w:szCs w:val="32"/>
        </w:rPr>
        <w:t>二、公益性责任和行风诚信</w:t>
      </w:r>
    </w:p>
    <w:tbl>
      <w:tblPr>
        <w:jc w:val="left"/>
        <w:tblInd w:w="93" w:type="dxa"/>
        <w:tblW w:w="140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57"/>
        <w:gridCol w:w="1424"/>
      </w:tblGrid>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b/>
                <w:bCs/>
                <w:color w:val="000000"/>
                <w:sz w:val="22"/>
                <w:szCs w:val="22"/>
              </w:rPr>
            </w:pPr>
            <w:r>
              <w:rPr>
                <w:rFonts w:ascii="仿宋" w:eastAsia="仿宋" w:cs="仿宋" w:hint="eastAsia"/>
                <w:b/>
                <w:bCs/>
                <w:color w:val="000000"/>
                <w:kern w:val="0"/>
                <w:sz w:val="22"/>
                <w:szCs w:val="22"/>
              </w:rPr>
              <w:t>指    标</w:t>
            </w:r>
          </w:p>
        </w:tc>
        <w:tc>
          <w:tcPr>
            <w:tcW w:w="1424"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hint="eastAsia"/>
                <w:b/>
                <w:bCs/>
                <w:color w:val="000000"/>
                <w:sz w:val="22"/>
                <w:szCs w:val="22"/>
                <w:lang w:eastAsia="zh-CN"/>
              </w:rPr>
            </w:pPr>
            <w:r>
              <w:rPr>
                <w:rFonts w:ascii="仿宋" w:eastAsia="仿宋" w:cs="仿宋" w:hint="eastAsia"/>
                <w:b/>
                <w:bCs/>
                <w:color w:val="000000"/>
                <w:kern w:val="0"/>
                <w:sz w:val="22"/>
                <w:szCs w:val="22"/>
                <w:lang w:eastAsia="zh-CN"/>
              </w:rPr>
              <w:t>自查情况</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（一）应当完成而未完成对口支援、中国援外医疗队、突发公共事件医疗救援、公共卫生任务等政府指令性工作。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（二）应当执行而未执行国家基本药物制度和分级诊疗政策。</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（三）医院领导班子发生3起以上严重职务犯罪或严重违纪事件，或医务人员发生3起以上违反《医疗卫生行风建设“九不准”》的群体性事件（≥3人/起），造成重大社会影响。</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（四）发生重大价格或收费违法事件，以及恶意骗取医保基金。</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（五）违反《中华人民共和国统计法》《医疗质量管理办法》《医学科研诚信和相关行为规范》 相关要求，提供、 报告虚假住院病案首页等医疗服务信息、统计数据、申报材料和科研成果，情节严重。</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bl>
    <w:p>
      <w:pPr>
        <w:rPr>
          <w:rFonts w:ascii="仿宋" w:eastAsia="仿宋" w:cs="仿宋"/>
          <w:b/>
          <w:bCs/>
          <w:sz w:val="32"/>
          <w:szCs w:val="32"/>
        </w:rPr>
      </w:pPr>
      <w:r>
        <w:rPr>
          <w:rFonts w:ascii="仿宋" w:eastAsia="仿宋" w:cs="仿宋" w:hint="eastAsia"/>
          <w:b/>
          <w:bCs/>
          <w:sz w:val="32"/>
          <w:szCs w:val="32"/>
        </w:rPr>
        <w:br w:type="page"/>
      </w:r>
    </w:p>
    <w:p>
      <w:pPr>
        <w:pStyle w:val="17"/>
        <w:spacing w:line="720" w:lineRule="auto"/>
        <w:ind w:firstLineChars="200" w:firstLine="640"/>
      </w:pPr>
      <w:r>
        <w:rPr>
          <w:rFonts w:ascii="仿宋" w:eastAsia="仿宋" w:cs="仿宋" w:hint="eastAsia"/>
          <w:b/>
          <w:bCs/>
          <w:sz w:val="32"/>
          <w:szCs w:val="32"/>
          <w:lang w:eastAsia="zh-CN"/>
        </w:rPr>
        <w:t>三、</w:t>
      </w:r>
      <w:r>
        <w:rPr>
          <w:rFonts w:ascii="仿宋" w:eastAsia="仿宋" w:cs="仿宋" w:hint="eastAsia"/>
          <w:b/>
          <w:bCs/>
          <w:sz w:val="32"/>
          <w:szCs w:val="32"/>
        </w:rPr>
        <w:t>安全管理与重大事件</w:t>
      </w:r>
    </w:p>
    <w:tbl>
      <w:tblPr>
        <w:jc w:val="left"/>
        <w:tblInd w:w="93" w:type="dxa"/>
        <w:tblW w:w="140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57"/>
        <w:gridCol w:w="1424"/>
      </w:tblGrid>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b/>
                <w:bCs/>
                <w:color w:val="000000"/>
                <w:sz w:val="22"/>
                <w:szCs w:val="22"/>
              </w:rPr>
            </w:pPr>
            <w:r>
              <w:rPr>
                <w:rFonts w:ascii="仿宋" w:eastAsia="仿宋" w:cs="仿宋" w:hint="eastAsia"/>
                <w:b/>
                <w:bCs/>
                <w:color w:val="000000"/>
                <w:kern w:val="0"/>
                <w:sz w:val="22"/>
                <w:szCs w:val="22"/>
              </w:rPr>
              <w:t>指    标</w:t>
            </w:r>
          </w:p>
        </w:tc>
        <w:tc>
          <w:tcPr>
            <w:tcW w:w="1424"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hint="eastAsia"/>
                <w:b/>
                <w:bCs/>
                <w:color w:val="000000"/>
                <w:sz w:val="22"/>
                <w:szCs w:val="22"/>
                <w:lang w:eastAsia="zh-CN"/>
              </w:rPr>
            </w:pPr>
            <w:r>
              <w:rPr>
                <w:rFonts w:ascii="仿宋" w:eastAsia="仿宋" w:cs="仿宋" w:hint="eastAsia"/>
                <w:b/>
                <w:bCs/>
                <w:color w:val="000000"/>
                <w:kern w:val="0"/>
                <w:sz w:val="22"/>
                <w:szCs w:val="22"/>
                <w:lang w:eastAsia="zh-CN"/>
              </w:rPr>
              <w:t>自查情况</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（一）发生定性为完全责任的一级医疗事故或直接被卫生健康行政部门判定的重大医疗事故。</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（二）发生重大医院感染事件，造成严重后果。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（三）发生因重大火灾、放射源泄漏、有害气体泄漏等被通报或处罚的重大安全事故。</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（四）发生瞒报、漏报重大医疗过失事件的行为。</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（五）发生大规模医疗数据泄露或其他重大网络安全事件，造成严重后果。</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bl>
    <w:p>
      <w:pPr>
        <w:ind w:firstLineChars="200" w:firstLine="640"/>
      </w:pPr>
      <w:r>
        <w:rPr>
          <w:rFonts w:ascii="仿宋" w:eastAsia="仿宋" w:cs="仿宋" w:hint="eastAsia"/>
          <w:b/>
          <w:sz w:val="32"/>
          <w:szCs w:val="32"/>
        </w:rPr>
        <w:t>四、政府指令性任务</w:t>
      </w:r>
    </w:p>
    <w:tbl>
      <w:tblPr>
        <w:jc w:val="left"/>
        <w:tblInd w:w="93" w:type="dxa"/>
        <w:tblW w:w="140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57"/>
        <w:gridCol w:w="1424"/>
      </w:tblGrid>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b/>
                <w:bCs/>
                <w:color w:val="000000"/>
                <w:sz w:val="22"/>
                <w:szCs w:val="22"/>
              </w:rPr>
            </w:pPr>
            <w:r>
              <w:rPr>
                <w:rFonts w:ascii="仿宋" w:eastAsia="仿宋" w:cs="仿宋" w:hint="eastAsia"/>
                <w:b/>
                <w:bCs/>
                <w:color w:val="000000"/>
                <w:kern w:val="0"/>
                <w:sz w:val="22"/>
                <w:szCs w:val="22"/>
              </w:rPr>
              <w:t>指    标</w:t>
            </w:r>
          </w:p>
        </w:tc>
        <w:tc>
          <w:tcPr>
            <w:tcW w:w="1424" w:type="dxa"/>
            <w:tcBorders>
              <w:top w:val="single" w:sz="4" w:space="0" w:color="000000"/>
              <w:left w:val="single" w:sz="4" w:space="0" w:color="000000"/>
              <w:bottom w:val="single" w:sz="4" w:space="0" w:color="000000"/>
              <w:right w:val="single" w:sz="4" w:space="0" w:color="000000"/>
            </w:tcBorders>
            <w:shd w:val="clear" w:color="auto" w:fill="E7E6E6"/>
            <w:vAlign w:val="center"/>
          </w:tcPr>
          <w:p>
            <w:pPr>
              <w:widowControl/>
              <w:jc w:val="center"/>
              <w:textAlignment w:val="center"/>
              <w:rPr>
                <w:rFonts w:ascii="仿宋" w:eastAsia="仿宋" w:cs="仿宋" w:hint="eastAsia"/>
                <w:b/>
                <w:bCs/>
                <w:color w:val="000000"/>
                <w:sz w:val="22"/>
                <w:szCs w:val="22"/>
                <w:lang w:eastAsia="zh-CN"/>
              </w:rPr>
            </w:pPr>
            <w:r>
              <w:rPr>
                <w:rFonts w:ascii="仿宋" w:eastAsia="仿宋" w:cs="仿宋" w:hint="eastAsia"/>
                <w:b/>
                <w:bCs/>
                <w:color w:val="000000"/>
                <w:kern w:val="0"/>
                <w:sz w:val="22"/>
                <w:szCs w:val="22"/>
                <w:lang w:eastAsia="zh-CN"/>
              </w:rPr>
              <w:t>自查情况</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（一）二级及以上综合医院、儿童专科医院、传染病专科医院发热门诊建设未达标;二级及以上综合医院、传染病专科医院新冠病毒核酸检测能力未达标。</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54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（二）县级医院医疗服务能力评估结果，二级县级医院未达到基本标准，三级县级医院未达到推荐标准。</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extAlignment w:val="center"/>
              <w:rPr>
                <w:rFonts w:ascii="仿宋" w:eastAsia="仿宋" w:cs="仿宋"/>
                <w:color w:val="000000"/>
                <w:sz w:val="22"/>
                <w:szCs w:val="22"/>
              </w:rPr>
            </w:pPr>
            <w:r>
              <w:rPr>
                <w:rFonts w:ascii="仿宋" w:eastAsia="仿宋" w:cs="仿宋" w:hint="eastAsia"/>
                <w:color w:val="000000"/>
                <w:kern w:val="0"/>
                <w:sz w:val="22"/>
                <w:szCs w:val="22"/>
              </w:rPr>
              <w:t>（三）上一年度三级公立医院绩效考核等次为C级以下（不含C+、C++）。</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（四）电子病历系统应用水平分级评价未达到4级以上。</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r>
        <w:trPr>
          <w:trHeight w:val="270"/>
        </w:trPr>
        <w:tc>
          <w:tcPr>
            <w:tcW w:w="12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仿宋" w:eastAsia="仿宋" w:cs="仿宋"/>
                <w:color w:val="000000"/>
                <w:sz w:val="22"/>
                <w:szCs w:val="22"/>
              </w:rPr>
            </w:pPr>
            <w:r>
              <w:rPr>
                <w:rFonts w:ascii="仿宋" w:eastAsia="仿宋" w:cs="仿宋" w:hint="eastAsia"/>
                <w:color w:val="000000"/>
                <w:kern w:val="0"/>
                <w:sz w:val="22"/>
                <w:szCs w:val="22"/>
              </w:rPr>
              <w:t>（五）未接入省(市)级全民健康信息平台，实现区域医疗服务信息互通共享。</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仿宋" w:eastAsia="仿宋" w:cs="仿宋"/>
                <w:color w:val="000000"/>
                <w:sz w:val="22"/>
                <w:szCs w:val="22"/>
              </w:rPr>
            </w:pPr>
            <w:r>
              <w:rPr>
                <w:rFonts w:ascii="仿宋" w:eastAsia="仿宋" w:cs="仿宋" w:hint="eastAsia"/>
                <w:color w:val="000000"/>
                <w:kern w:val="0"/>
                <w:sz w:val="22"/>
                <w:szCs w:val="22"/>
              </w:rPr>
              <w:t>合格</w:t>
            </w:r>
          </w:p>
        </w:tc>
      </w:tr>
    </w:tbl>
    <w:p>
      <w:pPr>
        <w:rPr>
          <w:rFonts w:ascii="仿宋" w:eastAsia="仿宋" w:cs="仿宋"/>
          <w:color w:val="000000"/>
          <w:sz w:val="32"/>
          <w:szCs w:val="32"/>
          <w:shd w:val="clear" w:color="auto" w:fill="FFFFFF"/>
        </w:rPr>
      </w:pPr>
    </w:p>
    <w:p>
      <w:pPr>
        <w:pStyle w:val="15"/>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jc w:val="both"/>
        <w:textAlignment w:val="baseline"/>
        <w:rPr>
          <w:rFonts w:ascii="仿宋_GB2312" w:eastAsia="仿宋_GB2312" w:cs="仿宋_GB2312" w:hint="eastAsia"/>
          <w:i w:val="0"/>
          <w:caps w:val="0"/>
          <w:smallCaps w:val="0"/>
          <w:color w:val="000000"/>
          <w:spacing w:val="0"/>
          <w:sz w:val="32"/>
          <w:szCs w:val="32"/>
          <w:vertAlign w:val="baseline"/>
        </w:rPr>
      </w:pPr>
    </w:p>
    <w:p>
      <w:pPr>
        <w:rPr>
          <w:rFonts w:ascii="仿宋_GB2312" w:eastAsia="仿宋_GB2312" w:cs="仿宋_GB2312" w:hint="eastAsia"/>
          <w:sz w:val="32"/>
          <w:szCs w:val="32"/>
        </w:rPr>
      </w:pP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docVars>
    <w:docVar w:name="commondata" w:val="eyJoZGlkIjoiZWQwOWE5OTdmNWEzODlhNGY1NzAyZjEyZjIxZDQ0Nz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paragraph" w:styleId="4">
    <w:name w:val="heading 4"/>
    <w:basedOn w:val="0"/>
    <w:next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paragraph" w:customStyle="1" w:styleId="16">
    <w:name w:val="样式1"/>
    <w:basedOn w:val="0"/>
    <w:rPr>
      <w:b/>
      <w:color w:val="548235"/>
      <w:sz w:val="28"/>
    </w:rPr>
  </w:style>
  <w:style w:type="paragraph" w:customStyle="1" w:styleId="17">
    <w:name w:val="Body text|1"/>
    <w:basedOn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3</Pages>
  <Words>1853</Words>
  <Characters>1856</Characters>
  <Lines>89</Lines>
  <Paragraphs>73</Paragraphs>
  <CharactersWithSpaces>1874</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wjw</cp:lastModifiedBy>
  <cp:revision>1</cp:revision>
  <dcterms:created xsi:type="dcterms:W3CDTF">2020-05-08T14:11:00Z</dcterms:created>
  <dcterms:modified xsi:type="dcterms:W3CDTF">2022-08-11T05:51:07Z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2052-11.1.0.11875</vt:lpwstr>
  </property>
  <property fmtid="{D5CDD505-2E9C-101B-9397-08002B2CF9AE}" pid="3" name="ICV">
    <vt:lpwstr>93E1788F2FA745DA9FF297CC59FD75C5</vt:lpwstr>
  </property>
</Properties>
</file>